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8.png" ContentType="image/png"/>
  <Override PartName="/word/media/rId90.png" ContentType="image/png"/>
  <Override PartName="/word/media/rId92.png" ContentType="image/png"/>
  <Override PartName="/word/media/rId94.png" ContentType="image/png"/>
  <Override PartName="/word/media/rId97.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QUIVIRR/Enhanced-Data-Sessions@b7c95aa</w:t>
        </w:r>
      </w:hyperlink>
      <w:r>
        <w:t xml:space="preserve"> </w:t>
      </w:r>
      <w:r>
        <w:t xml:space="preserve">on October 22, 2020.</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situation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 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much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 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 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 or 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 head avatar and two hands that are visible to others co-present in the virtual space (see Figure</w:t>
      </w:r>
      <w:r>
        <w:t xml:space="preserve"> </w:t>
      </w:r>
      <w:hyperlink w:anchor="fig:image4">
        <w:r>
          <w:rPr>
            <w:rStyle w:val="Hyperlink"/>
          </w:rPr>
          <w:t xml:space="preserve">4</w:t>
        </w:r>
      </w:hyperlink>
      <w:r>
        <w:t xml:space="preserve">).</w:t>
      </w:r>
    </w:p>
    <w:p>
      <w:pPr>
        <w:numPr>
          <w:ilvl w:val="0"/>
          <w:numId w:val="1006"/>
        </w:numPr>
      </w:pPr>
      <w:r>
        <w:t xml:space="preserve">Users can talk to each other. 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 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5"/>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8"/>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79"/>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0"/>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 The live stream was relayed via Blackboard Connect to 30 viewers around Europe.</w:t>
      </w:r>
    </w:p>
    <w:p>
      <w:pPr>
        <w:pStyle w:val="BodyText"/>
      </w:pPr>
      <w:r>
        <w:t xml:space="preserve">Our experience with</w:t>
      </w:r>
      <w:r>
        <w:t xml:space="preserve"> </w:t>
      </w:r>
      <w:r>
        <w:rPr>
          <w:i/>
        </w:rPr>
        <w:t xml:space="preserve">CAVA360VR</w:t>
      </w:r>
      <w:r>
        <w:t xml:space="preserve"> </w:t>
      </w:r>
      <w:r>
        <w:t xml:space="preserve">has been very positive. 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1" w:name="what-version-is-this-and-who-is-to-blame"/>
      <w:r>
        <w:t xml:space="preserve">What version is this and who is to blame?</w:t>
      </w:r>
      <w:bookmarkEnd w:id="81"/>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2"/>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3"/>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 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5"/>
      </w:r>
    </w:p>
    <w:p>
      <w:pPr>
        <w:pStyle w:val="Heading4"/>
      </w:pPr>
      <w:bookmarkStart w:id="86" w:name="live-editing-of-a-common-transcript"/>
      <w:r>
        <w:t xml:space="preserve">Live editing of a common transcript</w:t>
      </w:r>
      <w:bookmarkEnd w:id="86"/>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7"/>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89"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8"/>
                    <a:stretch>
                      <a:fillRect/>
                    </a:stretch>
                  </pic:blipFill>
                  <pic:spPr bwMode="auto">
                    <a:xfrm>
                      <a:off x="0" y="0"/>
                      <a:ext cx="5943600" cy="3228123"/>
                    </a:xfrm>
                    <a:prstGeom prst="rect">
                      <a:avLst/>
                    </a:prstGeom>
                    <a:noFill/>
                    <a:ln w="9525">
                      <a:noFill/>
                      <a:headEnd/>
                      <a:tailEnd/>
                    </a:ln>
                  </pic:spPr>
                </pic:pic>
              </a:graphicData>
            </a:graphic>
          </wp:inline>
        </w:drawing>
      </w:r>
      <w:bookmarkEnd w:id="89"/>
    </w:p>
    <w:p>
      <w:pPr>
        <w:pStyle w:val="ImageCaption"/>
      </w:pPr>
      <w:r>
        <w:t xml:space="preserve">Figure 5: Editing a live transcript.</w:t>
      </w:r>
    </w:p>
    <w:bookmarkEnd w:id="0"/>
    <w:bookmarkStart w:id="0" w:name="fig:image6"/>
    <w:p>
      <w:pPr>
        <w:pStyle w:val="CaptionedFigure"/>
      </w:pPr>
      <w:bookmarkStart w:id="91"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0"/>
                    <a:stretch>
                      <a:fillRect/>
                    </a:stretch>
                  </pic:blipFill>
                  <pic:spPr bwMode="auto">
                    <a:xfrm>
                      <a:off x="0" y="0"/>
                      <a:ext cx="5943600" cy="3325714"/>
                    </a:xfrm>
                    <a:prstGeom prst="rect">
                      <a:avLst/>
                    </a:prstGeom>
                    <a:noFill/>
                    <a:ln w="9525">
                      <a:noFill/>
                      <a:headEnd/>
                      <a:tailEnd/>
                    </a:ln>
                  </pic:spPr>
                </pic:pic>
              </a:graphicData>
            </a:graphic>
          </wp:inline>
        </w:drawing>
      </w:r>
      <w:bookmarkEnd w:id="91"/>
    </w:p>
    <w:p>
      <w:pPr>
        <w:pStyle w:val="ImageCaption"/>
      </w:pPr>
      <w:r>
        <w:t xml:space="preserve">Figure 6: Maintaining multiple versions of a transcript over time.</w:t>
      </w:r>
    </w:p>
    <w:bookmarkEnd w:id="0"/>
    <w:bookmarkStart w:id="0" w:name="fig:image7"/>
    <w:p>
      <w:pPr>
        <w:pStyle w:val="CaptionedFigure"/>
      </w:pPr>
      <w:bookmarkStart w:id="93"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2"/>
                    <a:stretch>
                      <a:fillRect/>
                    </a:stretch>
                  </pic:blipFill>
                  <pic:spPr bwMode="auto">
                    <a:xfrm>
                      <a:off x="0" y="0"/>
                      <a:ext cx="5943600" cy="2993990"/>
                    </a:xfrm>
                    <a:prstGeom prst="rect">
                      <a:avLst/>
                    </a:prstGeom>
                    <a:noFill/>
                    <a:ln w="9525">
                      <a:noFill/>
                      <a:headEnd/>
                      <a:tailEnd/>
                    </a:ln>
                  </pic:spPr>
                </pic:pic>
              </a:graphicData>
            </a:graphic>
          </wp:inline>
        </w:drawing>
      </w:r>
      <w:bookmarkEnd w:id="93"/>
    </w:p>
    <w:p>
      <w:pPr>
        <w:pStyle w:val="ImageCaption"/>
      </w:pPr>
      <w:r>
        <w:t xml:space="preserve">Figure 7: Checking who made what changes.</w:t>
      </w:r>
    </w:p>
    <w:bookmarkEnd w:id="0"/>
    <w:bookmarkStart w:id="0" w:name="fig:image8"/>
    <w:p>
      <w:pPr>
        <w:pStyle w:val="CaptionedFigure"/>
      </w:pPr>
      <w:bookmarkStart w:id="95"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4"/>
                    <a:stretch>
                      <a:fillRect/>
                    </a:stretch>
                  </pic:blipFill>
                  <pic:spPr bwMode="auto">
                    <a:xfrm>
                      <a:off x="0" y="0"/>
                      <a:ext cx="5943600" cy="2911472"/>
                    </a:xfrm>
                    <a:prstGeom prst="rect">
                      <a:avLst/>
                    </a:prstGeom>
                    <a:noFill/>
                    <a:ln w="9525">
                      <a:noFill/>
                      <a:headEnd/>
                      <a:tailEnd/>
                    </a:ln>
                  </pic:spPr>
                </pic:pic>
              </a:graphicData>
            </a:graphic>
          </wp:inline>
        </w:drawing>
      </w:r>
      <w:bookmarkEnd w:id="95"/>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6" w:name="conclusion"/>
      <w:r>
        <w:t xml:space="preserve">Conclusion</w:t>
      </w:r>
      <w:bookmarkEnd w:id="96"/>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8"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7"/>
                    <a:stretch>
                      <a:fillRect/>
                    </a:stretch>
                  </pic:blipFill>
                  <pic:spPr bwMode="auto">
                    <a:xfrm>
                      <a:off x="0" y="0"/>
                      <a:ext cx="5943600" cy="2953745"/>
                    </a:xfrm>
                    <a:prstGeom prst="rect">
                      <a:avLst/>
                    </a:prstGeom>
                    <a:noFill/>
                    <a:ln w="9525">
                      <a:noFill/>
                      <a:headEnd/>
                      <a:tailEnd/>
                    </a:ln>
                  </pic:spPr>
                </pic:pic>
              </a:graphicData>
            </a:graphic>
          </wp:inline>
        </w:drawing>
      </w:r>
      <w:bookmarkEnd w:id="98"/>
    </w:p>
    <w:p>
      <w:pPr>
        <w:pStyle w:val="ImageCaption"/>
      </w:pPr>
      <w:r>
        <w:t xml:space="preserve">Figure 9: New workflows that impact the data session - DOI:</w:t>
      </w:r>
      <w:hyperlink r:id="rId99">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complex technology.</w:t>
      </w:r>
      <w:r>
        <w:t xml:space="preserve"> </w:t>
      </w:r>
      <w:r>
        <w:t xml:space="preserve">Using a standard video player on a laptop and a standard LCD monitor, with the technology of pen and paper for the transcript and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multi-user</w:t>
      </w:r>
      <w:r>
        <w:t xml:space="preserve"> </w:t>
      </w:r>
      <w:r>
        <w:rPr>
          <w:i/>
        </w:rPr>
        <w:t xml:space="preserve">CAVA360VR</w:t>
      </w:r>
      <w:r>
        <w:t xml:space="preserve">.</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for different use cases.</w:t>
      </w:r>
    </w:p>
    <w:p>
      <w:pPr>
        <w:numPr>
          <w:ilvl w:val="0"/>
          <w:numId w:val="1009"/>
        </w:numPr>
      </w:pPr>
      <w:r>
        <w:t xml:space="preserve">Remote live conference participation using multi-user VR to collaboratively inhabit and present complex video data while the local audience view and interact on traditional presentation screens.</w:t>
      </w:r>
    </w:p>
    <w:p>
      <w:pPr>
        <w:numPr>
          <w:ilvl w:val="0"/>
          <w:numId w:val="1009"/>
        </w:numPr>
      </w:pPr>
      <w:r>
        <w:t xml:space="preserve">Granular capture and replay of all aspects of a live enhanced data session as an (open) interactive notebook.</w:t>
      </w:r>
      <w:r>
        <w:rPr>
          <w:rStyle w:val="FootnoteReference"/>
        </w:rPr>
        <w:footnoteReference w:id="100"/>
      </w:r>
    </w:p>
    <w:p>
      <w:pPr>
        <w:pStyle w:val="Heading2"/>
      </w:pPr>
      <w:bookmarkStart w:id="102" w:name="acknowledgements"/>
      <w:r>
        <w:t xml:space="preserve">Acknowledgements</w:t>
      </w:r>
      <w:bookmarkEnd w:id="102"/>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3" w:name="references"/>
      <w:r>
        <w:t xml:space="preserve">References</w:t>
      </w:r>
      <w:bookmarkEnd w:id="103"/>
    </w:p>
    <w:bookmarkStart w:id="165" w:name="refs"/>
    <w:bookmarkStart w:id="105"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4">
        <w:r>
          <w:rPr>
            <w:rStyle w:val="Hyperlink"/>
          </w:rPr>
          <w:t xml:space="preserve">https://doi.org/10.1515/text.2008.001</w:t>
        </w:r>
      </w:hyperlink>
      <w:r>
        <w:t xml:space="preserve">.</w:t>
      </w:r>
    </w:p>
    <w:bookmarkEnd w:id="105"/>
    <w:bookmarkStart w:id="107"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6">
        <w:r>
          <w:rPr>
            <w:rStyle w:val="Hyperlink"/>
          </w:rPr>
          <w:t xml:space="preserve">https://doi.org/10.1080/13691180801937290</w:t>
        </w:r>
      </w:hyperlink>
      <w:r>
        <w:t xml:space="preserve">.</w:t>
      </w:r>
    </w:p>
    <w:bookmarkEnd w:id="107"/>
    <w:bookmarkStart w:id="109"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(1).</w:t>
      </w:r>
      <w:r>
        <w:t xml:space="preserve"> </w:t>
      </w:r>
      <w:hyperlink r:id="rId108">
        <w:r>
          <w:rPr>
            <w:rStyle w:val="Hyperlink"/>
          </w:rPr>
          <w:t xml:space="preserve">https://doi.org/10.5334/kula.39</w:t>
        </w:r>
      </w:hyperlink>
      <w:r>
        <w:t xml:space="preserve">.</w:t>
      </w:r>
    </w:p>
    <w:bookmarkEnd w:id="109"/>
    <w:bookmarkStart w:id="111"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0">
        <w:r>
          <w:rPr>
            <w:rStyle w:val="Hyperlink"/>
          </w:rPr>
          <w:t xml:space="preserve">https://www.acm.org/sigchi/chi97/proceedings/doc/alb.htm</w:t>
        </w:r>
      </w:hyperlink>
      <w:r>
        <w:t xml:space="preserve">.</w:t>
      </w:r>
    </w:p>
    <w:bookmarkEnd w:id="111"/>
    <w:bookmarkStart w:id="113"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2">
        <w:r>
          <w:rPr>
            <w:rStyle w:val="Hyperlink"/>
          </w:rPr>
          <w:t xml:space="preserve">https://doi.org/10.1177/1206331208319148</w:t>
        </w:r>
      </w:hyperlink>
      <w:r>
        <w:t xml:space="preserve">.</w:t>
      </w:r>
    </w:p>
    <w:bookmarkEnd w:id="113"/>
    <w:bookmarkStart w:id="115"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4">
        <w:r>
          <w:rPr>
            <w:rStyle w:val="Hyperlink"/>
          </w:rPr>
          <w:t xml:space="preserve">https://rolsi.net/guest-blogs/guest-blog-jacob-davidsen-and-paul-mcilvenny-on-experiments-with-big-video/</w:t>
        </w:r>
      </w:hyperlink>
      <w:r>
        <w:t xml:space="preserve">.</w:t>
      </w:r>
    </w:p>
    <w:bookmarkEnd w:id="115"/>
    <w:bookmarkStart w:id="117"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6">
        <w:r>
          <w:rPr>
            <w:rStyle w:val="Hyperlink"/>
          </w:rPr>
          <w:t xml:space="preserve">https://doi.org/10.17169/fqs-12.1.1636</w:t>
        </w:r>
      </w:hyperlink>
      <w:r>
        <w:t xml:space="preserve">.</w:t>
      </w:r>
    </w:p>
    <w:bookmarkEnd w:id="117"/>
    <w:bookmarkStart w:id="119"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8">
        <w:r>
          <w:rPr>
            <w:rStyle w:val="Hyperlink"/>
          </w:rPr>
          <w:t xml:space="preserve">http://www.cs.bris.ac.uk/~fraser/projects/vidgrid/fraser-dds.pdf</w:t>
        </w:r>
      </w:hyperlink>
      <w:r>
        <w:t xml:space="preserve">.</w:t>
      </w:r>
    </w:p>
    <w:bookmarkEnd w:id="119"/>
    <w:bookmarkStart w:id="120"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0"/>
    <w:bookmarkStart w:id="121"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1"/>
    <w:bookmarkStart w:id="122"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2"/>
    <w:bookmarkStart w:id="124"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3">
        <w:r>
          <w:rPr>
            <w:rStyle w:val="Hyperlink"/>
          </w:rPr>
          <w:t xml:space="preserve">https://doi.org/10.1371/journal.pcbi.1007128</w:t>
        </w:r>
      </w:hyperlink>
      <w:r>
        <w:t xml:space="preserve">.</w:t>
      </w:r>
    </w:p>
    <w:bookmarkEnd w:id="124"/>
    <w:bookmarkStart w:id="126"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5">
        <w:r>
          <w:rPr>
            <w:rStyle w:val="Hyperlink"/>
          </w:rPr>
          <w:t xml:space="preserve">https://doi.org/10.17169/fqs-9.3.1170</w:t>
        </w:r>
      </w:hyperlink>
      <w:r>
        <w:t xml:space="preserve">.</w:t>
      </w:r>
    </w:p>
    <w:bookmarkEnd w:id="126"/>
    <w:bookmarkStart w:id="128"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7">
        <w:r>
          <w:rPr>
            <w:rStyle w:val="Hyperlink"/>
          </w:rPr>
          <w:t xml:space="preserve">https://doi.org/10.7717/peerj-cs.112</w:t>
        </w:r>
      </w:hyperlink>
      <w:r>
        <w:t xml:space="preserve">.</w:t>
      </w:r>
    </w:p>
    <w:bookmarkEnd w:id="128"/>
    <w:bookmarkStart w:id="130"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29">
        <w:r>
          <w:rPr>
            <w:rStyle w:val="Hyperlink"/>
          </w:rPr>
          <w:t xml:space="preserve">https://doi.org/10.1111/gec3.12123</w:t>
        </w:r>
      </w:hyperlink>
      <w:r>
        <w:t xml:space="preserve">.</w:t>
      </w:r>
    </w:p>
    <w:bookmarkEnd w:id="130"/>
    <w:bookmarkStart w:id="132"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1">
        <w:r>
          <w:rPr>
            <w:rStyle w:val="Hyperlink"/>
          </w:rPr>
          <w:t xml:space="preserve">https://doi.org/10.7146/si.v2i1.113968</w:t>
        </w:r>
      </w:hyperlink>
      <w:r>
        <w:t xml:space="preserve">.</w:t>
      </w:r>
    </w:p>
    <w:bookmarkEnd w:id="132"/>
    <w:bookmarkStart w:id="134"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3">
        <w:r>
          <w:rPr>
            <w:rStyle w:val="Hyperlink"/>
          </w:rPr>
          <w:t xml:space="preserve">https://doi.org/10.1080/08351813.2012.724996</w:t>
        </w:r>
      </w:hyperlink>
      <w:r>
        <w:t xml:space="preserve">.</w:t>
      </w:r>
    </w:p>
    <w:bookmarkEnd w:id="134"/>
    <w:bookmarkStart w:id="136"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5">
        <w:r>
          <w:rPr>
            <w:rStyle w:val="Hyperlink"/>
          </w:rPr>
          <w:t xml:space="preserve">https://doi.org/10.1145/2442106.2442112</w:t>
        </w:r>
      </w:hyperlink>
      <w:r>
        <w:t xml:space="preserve">.</w:t>
      </w:r>
    </w:p>
    <w:bookmarkEnd w:id="136"/>
    <w:bookmarkStart w:id="138"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7">
        <w:r>
          <w:rPr>
            <w:rStyle w:val="Hyperlink"/>
          </w:rPr>
          <w:t xml:space="preserve">https://doi.org/10.17169/fqs-12.3.1564</w:t>
        </w:r>
      </w:hyperlink>
      <w:r>
        <w:t xml:space="preserve">.</w:t>
      </w:r>
    </w:p>
    <w:bookmarkEnd w:id="138"/>
    <w:bookmarkStart w:id="140"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39">
        <w:r>
          <w:rPr>
            <w:rStyle w:val="Hyperlink"/>
          </w:rPr>
          <w:t xml:space="preserve">https://doi.org/10.7146/si.v2i1.110409</w:t>
        </w:r>
      </w:hyperlink>
      <w:r>
        <w:t xml:space="preserve">.</w:t>
      </w:r>
    </w:p>
    <w:bookmarkEnd w:id="140"/>
    <w:bookmarkStart w:id="142"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February, 146879412090546.</w:t>
      </w:r>
      <w:r>
        <w:t xml:space="preserve"> </w:t>
      </w:r>
      <w:hyperlink r:id="rId141">
        <w:r>
          <w:rPr>
            <w:rStyle w:val="Hyperlink"/>
          </w:rPr>
          <w:t xml:space="preserve">https://doi.org/10.1177/1468794120905460</w:t>
        </w:r>
      </w:hyperlink>
      <w:r>
        <w:t xml:space="preserve">.</w:t>
      </w:r>
    </w:p>
    <w:bookmarkEnd w:id="142"/>
    <w:bookmarkStart w:id="144"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3">
        <w:r>
          <w:rPr>
            <w:rStyle w:val="Hyperlink"/>
          </w:rPr>
          <w:t xml:space="preserve">https://www.nordicom.gu.se/sites/default/files/kapitel-pdf/mcilvenny_davidsen.pdf</w:t>
        </w:r>
      </w:hyperlink>
      <w:r>
        <w:t xml:space="preserve">.</w:t>
      </w:r>
    </w:p>
    <w:bookmarkEnd w:id="144"/>
    <w:bookmarkStart w:id="145"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5"/>
    <w:bookmarkStart w:id="147"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6">
        <w:r>
          <w:rPr>
            <w:rStyle w:val="Hyperlink"/>
          </w:rPr>
          <w:t xml:space="preserve">https://doi.org/10.1515/arbeit-1998-0305</w:t>
        </w:r>
      </w:hyperlink>
      <w:r>
        <w:t xml:space="preserve">.</w:t>
      </w:r>
    </w:p>
    <w:bookmarkEnd w:id="147"/>
    <w:bookmarkStart w:id="149"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8">
        <w:r>
          <w:rPr>
            <w:rStyle w:val="Hyperlink"/>
          </w:rPr>
          <w:t xml:space="preserve">https://doi.org/10.1080/08351813.2018.1413878</w:t>
        </w:r>
      </w:hyperlink>
      <w:r>
        <w:t xml:space="preserve">.</w:t>
      </w:r>
    </w:p>
    <w:bookmarkEnd w:id="149"/>
    <w:bookmarkStart w:id="151"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0">
        <w:r>
          <w:rPr>
            <w:rStyle w:val="Hyperlink"/>
          </w:rPr>
          <w:t xml:space="preserve">https://doi.org/10.7146/si.v2i1.113150</w:t>
        </w:r>
      </w:hyperlink>
      <w:r>
        <w:t xml:space="preserve">.</w:t>
      </w:r>
    </w:p>
    <w:bookmarkEnd w:id="151"/>
    <w:bookmarkStart w:id="153"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2">
        <w:r>
          <w:rPr>
            <w:rStyle w:val="Hyperlink"/>
          </w:rPr>
          <w:t xml:space="preserve">https://doi.org/10.3390/publications7010009</w:t>
        </w:r>
      </w:hyperlink>
      <w:r>
        <w:t xml:space="preserve">.</w:t>
      </w:r>
    </w:p>
    <w:bookmarkEnd w:id="153"/>
    <w:bookmarkStart w:id="154"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4"/>
    <w:bookmarkStart w:id="156"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5">
        <w:r>
          <w:rPr>
            <w:rStyle w:val="Hyperlink"/>
          </w:rPr>
          <w:t xml:space="preserve">https://doi.org/10.1177/0957926599010004008</w:t>
        </w:r>
      </w:hyperlink>
      <w:r>
        <w:t xml:space="preserve">.</w:t>
      </w:r>
    </w:p>
    <w:bookmarkEnd w:id="156"/>
    <w:bookmarkStart w:id="158"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7">
        <w:r>
          <w:rPr>
            <w:rStyle w:val="Hyperlink"/>
          </w:rPr>
          <w:t xml:space="preserve">https://doi.org/10.17169/fqs-9.3.1149</w:t>
        </w:r>
      </w:hyperlink>
      <w:r>
        <w:t xml:space="preserve">.</w:t>
      </w:r>
    </w:p>
    <w:bookmarkEnd w:id="158"/>
    <w:bookmarkStart w:id="160"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59">
        <w:r>
          <w:rPr>
            <w:rStyle w:val="Hyperlink"/>
          </w:rPr>
          <w:t xml:space="preserve">https://doi.org/10.1016/j.lcsi.2017.06.001</w:t>
        </w:r>
      </w:hyperlink>
      <w:r>
        <w:t xml:space="preserve">.</w:t>
      </w:r>
    </w:p>
    <w:bookmarkEnd w:id="160"/>
    <w:bookmarkStart w:id="162"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1">
        <w:r>
          <w:rPr>
            <w:rStyle w:val="Hyperlink"/>
          </w:rPr>
          <w:t xml:space="preserve">https://doi.org/10.1080/08351813.2011.591765</w:t>
        </w:r>
      </w:hyperlink>
      <w:r>
        <w:t xml:space="preserve">.</w:t>
      </w:r>
    </w:p>
    <w:bookmarkEnd w:id="162"/>
    <w:bookmarkStart w:id="164"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3">
        <w:r>
          <w:rPr>
            <w:rStyle w:val="Hyperlink"/>
          </w:rPr>
          <w:t xml:space="preserve">https://doi.org/10.17169/fqs-12.1.1516</w:t>
        </w:r>
      </w:hyperlink>
      <w:r>
        <w:t xml:space="preserve">.</w:t>
      </w:r>
    </w:p>
    <w:bookmarkEnd w:id="164"/>
    <w:bookmarkEnd w:id="165"/>
    <w:p>
      <w:pPr>
        <w:pStyle w:val="Heading2"/>
      </w:pPr>
      <w:bookmarkStart w:id="166" w:name="notes"/>
      <w:r>
        <w:t xml:space="preserve">Notes</w:t>
      </w:r>
      <w:bookmarkEnd w:id="166"/>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 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 Taking this perspective to understanding the data session as a methodological practice, it can be seen as an early example in the social sciences of more openness towards sharing data-in-progress and working up observations into analyses collaboratively within the constraints of ethical consent and anonymisation. 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makes them ineligible for a full-blown focused data session.</w:t>
      </w:r>
      <w:r>
        <w:t xml:space="preserve"> </w:t>
      </w:r>
      <w:r>
        <w:t xml:space="preserve">The goal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 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beta-testing.</w:t>
      </w:r>
      <w:r>
        <w:t xml:space="preserve"> </w:t>
      </w:r>
      <w:r>
        <w:t xml:space="preserve">A public release of the software is expected in late 2020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networking service,</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and then is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at a later date.</w:t>
      </w:r>
    </w:p>
  </w:footnote>
  <w:footnote w:id="75">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6">
        <w:r>
          <w:rPr>
            <w:rStyle w:val="Hyperlink"/>
          </w:rPr>
          <w:t xml:space="preserve">youtu.be/LbESseSp62E</w:t>
        </w:r>
      </w:hyperlink>
      <w:r>
        <w:t xml:space="preserve">. It is also archived at DOI:</w:t>
      </w:r>
      <w:hyperlink r:id="rId77">
        <w:r>
          <w:rPr>
            <w:rStyle w:val="Hyperlink"/>
          </w:rPr>
          <w:t xml:space="preserve">10.5281/zenodo.3955727</w:t>
        </w:r>
      </w:hyperlink>
      <w:r>
        <w:t xml:space="preserve">.</w:t>
      </w:r>
    </w:p>
  </w:footnote>
  <w:footnote w:id="78">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the syncing of the visual video tracks.</w:t>
      </w:r>
    </w:p>
  </w:footnote>
  <w:footnote w:id="79">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 CC BY-NC-SA 4.0 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0">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2">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3">
    <w:p>
      <w:pPr>
        <w:pStyle w:val="FootnoteText"/>
      </w:pPr>
      <w:r>
        <w:rPr>
          <w:rStyle w:val="FootnoteReference"/>
        </w:rPr>
        <w:footnoteRef/>
      </w:r>
      <w:r>
        <w:t xml:space="preserve"> </w:t>
      </w:r>
      <w:r>
        <w:t xml:space="preserve">The</w:t>
      </w:r>
      <w:r>
        <w:t xml:space="preserve"> </w:t>
      </w:r>
      <w:r>
        <w:rPr>
          <w:i/>
        </w:rPr>
        <w:t xml:space="preserve">Transana</w:t>
      </w:r>
      <w:r>
        <w:t xml:space="preserve"> </w:t>
      </w:r>
      <w:r>
        <w:t xml:space="preserve">CAQDAS software package sells a multi-user version that allows users to access a single database on a cloud server on which a transcript and its metadata is stored. To cope with conflicts caused by simultaneous access it locks data records (eg. a transcript) to one user at a time. Moreover, as with the single user version, there is neither centralised nor distributed version control of changes made by users (</w:t>
      </w:r>
      <w:hyperlink r:id="rId84">
        <w:r>
          <w:rPr>
            <w:rStyle w:val="Hyperlink"/>
          </w:rPr>
          <w:t xml:space="preserve">www.transana.com/tutorial/mu-start/</w:t>
        </w:r>
      </w:hyperlink>
      <w:r>
        <w:t xml:space="preserve">).</w:t>
      </w:r>
    </w:p>
  </w:footnote>
  <w:footnote w:id="85">
    <w:p>
      <w:pPr>
        <w:pStyle w:val="FootnoteText"/>
      </w:pPr>
      <w:r>
        <w:rPr>
          <w:rStyle w:val="FootnoteReference"/>
        </w:rPr>
        <w:footnoteRef/>
      </w:r>
      <w:r>
        <w:t xml:space="preserve"> </w:t>
      </w:r>
      <w:r>
        <w:t xml:space="preserve">This opens up the possibility for crowdsourcing transcription work.</w:t>
      </w:r>
    </w:p>
  </w:footnote>
  <w:footnote w:id="87">
    <w:p>
      <w:pPr>
        <w:pStyle w:val="FootnoteText"/>
      </w:pPr>
      <w:r>
        <w:rPr>
          <w:rStyle w:val="FootnoteReference"/>
        </w:rPr>
        <w:footnoteRef/>
      </w:r>
      <w:r>
        <w:t xml:space="preserve"> </w:t>
      </w:r>
      <w:r>
        <w:rPr>
          <w:i/>
        </w:rPr>
        <w:t xml:space="preserve">DOTE</w:t>
      </w:r>
      <w:r>
        <w:t xml:space="preserve"> </w:t>
      </w:r>
      <w:r>
        <w:t xml:space="preserve">is currently in development and early beta-testing.</w:t>
      </w:r>
    </w:p>
  </w:footnote>
  <w:footnote w:id="100">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1">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b7c95aaaf0f6013805a373859ec2181ad70b08af/"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b7c95aaaf0f6013805a373859ec2181ad70b08af"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8"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b7c95aaaf0f6013805a373859ec2181ad70b08af/" TargetMode="External" /><Relationship Type="http://schemas.openxmlformats.org/officeDocument/2006/relationships/hyperlink" Id="rId159" Target="https://doi.org/10.1016/j.lcsi.2017.06.001" TargetMode="External" /><Relationship Type="http://schemas.openxmlformats.org/officeDocument/2006/relationships/hyperlink" Id="rId161" Target="https://doi.org/10.1080/08351813.2011.591765" TargetMode="External" /><Relationship Type="http://schemas.openxmlformats.org/officeDocument/2006/relationships/hyperlink" Id="rId133" Target="https://doi.org/10.1080/08351813.2012.724996" TargetMode="External" /><Relationship Type="http://schemas.openxmlformats.org/officeDocument/2006/relationships/hyperlink" Id="rId148" Target="https://doi.org/10.1080/08351813.2018.1413878" TargetMode="External" /><Relationship Type="http://schemas.openxmlformats.org/officeDocument/2006/relationships/hyperlink" Id="rId106" Target="https://doi.org/10.1080/13691180801937290" TargetMode="External" /><Relationship Type="http://schemas.openxmlformats.org/officeDocument/2006/relationships/hyperlink" Id="rId129" Target="https://doi.org/10.1111/gec3.12123" TargetMode="External" /><Relationship Type="http://schemas.openxmlformats.org/officeDocument/2006/relationships/hyperlink" Id="rId135" Target="https://doi.org/10.1145/2442106.2442112" TargetMode="External" /><Relationship Type="http://schemas.openxmlformats.org/officeDocument/2006/relationships/hyperlink" Id="rId155" Target="https://doi.org/10.1177/0957926599010004008" TargetMode="External" /><Relationship Type="http://schemas.openxmlformats.org/officeDocument/2006/relationships/hyperlink" Id="rId112" Target="https://doi.org/10.1177/1206331208319148" TargetMode="External" /><Relationship Type="http://schemas.openxmlformats.org/officeDocument/2006/relationships/hyperlink" Id="rId141" Target="https://doi.org/10.1177/1468794120905460" TargetMode="External" /><Relationship Type="http://schemas.openxmlformats.org/officeDocument/2006/relationships/hyperlink" Id="rId123" Target="https://doi.org/10.1371/journal.pcbi.1007128" TargetMode="External" /><Relationship Type="http://schemas.openxmlformats.org/officeDocument/2006/relationships/hyperlink" Id="rId146" Target="https://doi.org/10.1515/arbeit-1998-0305" TargetMode="External" /><Relationship Type="http://schemas.openxmlformats.org/officeDocument/2006/relationships/hyperlink" Id="rId104" Target="https://doi.org/10.1515/text.2008.001" TargetMode="External" /><Relationship Type="http://schemas.openxmlformats.org/officeDocument/2006/relationships/hyperlink" Id="rId163" Target="https://doi.org/10.17169/fqs-12.1.1516" TargetMode="External" /><Relationship Type="http://schemas.openxmlformats.org/officeDocument/2006/relationships/hyperlink" Id="rId116" Target="https://doi.org/10.17169/fqs-12.1.1636" TargetMode="External" /><Relationship Type="http://schemas.openxmlformats.org/officeDocument/2006/relationships/hyperlink" Id="rId137" Target="https://doi.org/10.17169/fqs-12.3.1564" TargetMode="External" /><Relationship Type="http://schemas.openxmlformats.org/officeDocument/2006/relationships/hyperlink" Id="rId157" Target="https://doi.org/10.17169/fqs-9.3.1149" TargetMode="External" /><Relationship Type="http://schemas.openxmlformats.org/officeDocument/2006/relationships/hyperlink" Id="rId125" Target="https://doi.org/10.17169/fqs-9.3.1170" TargetMode="External" /><Relationship Type="http://schemas.openxmlformats.org/officeDocument/2006/relationships/hyperlink" Id="rId152" Target="https://doi.org/10.3390/publications7010009" TargetMode="External" /><Relationship Type="http://schemas.openxmlformats.org/officeDocument/2006/relationships/hyperlink" Id="rId66" Target="https://doi.org/10.5281/zenodo.3954026" TargetMode="External" /><Relationship Type="http://schemas.openxmlformats.org/officeDocument/2006/relationships/hyperlink" Id="rId77" Target="https://doi.org/10.5281/zenodo.3955727" TargetMode="External" /><Relationship Type="http://schemas.openxmlformats.org/officeDocument/2006/relationships/hyperlink" Id="rId108"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99" Target="https://doi.org/10.6084/m9.figshare.12689729" TargetMode="External" /><Relationship Type="http://schemas.openxmlformats.org/officeDocument/2006/relationships/hyperlink" Id="rId139" Target="https://doi.org/10.7146/si.v2i1.110409" TargetMode="External" /><Relationship Type="http://schemas.openxmlformats.org/officeDocument/2006/relationships/hyperlink" Id="rId150" Target="https://doi.org/10.7146/si.v2i1.113150" TargetMode="External" /><Relationship Type="http://schemas.openxmlformats.org/officeDocument/2006/relationships/hyperlink" Id="rId131" Target="https://doi.org/10.7146/si.v2i1.113968" TargetMode="External" /><Relationship Type="http://schemas.openxmlformats.org/officeDocument/2006/relationships/hyperlink" Id="rId127"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1" Target="https://github.com/BigSoftVideo/Big-Video-Tools-Features" TargetMode="External" /><Relationship Type="http://schemas.openxmlformats.org/officeDocument/2006/relationships/hyperlink" Id="rId21" Target="https://github.com/QUIVIRR/Enhanced-Data-Sessions/tree/b7c95aaaf0f6013805a373859ec2181ad70b08af"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4" Target="https://rolsi.net/guest-blogs/guest-blog-jacob-davidsen-and-paul-mcilvenny-on-experiments-with-big-video/" TargetMode="External" /><Relationship Type="http://schemas.openxmlformats.org/officeDocument/2006/relationships/hyperlink" Id="rId110"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3" Target="https://www.nordicom.gu.se/sites/default/files/kapitel-pdf/mcilvenny_davidsen.pdf" TargetMode="External" /><Relationship Type="http://schemas.openxmlformats.org/officeDocument/2006/relationships/hyperlink" Id="rId84" Target="https://www.transana.com/tutorial/mu-start/" TargetMode="External" /><Relationship Type="http://schemas.openxmlformats.org/officeDocument/2006/relationships/hyperlink" Id="rId76"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2020-10-22T15:45:11Z</dcterms:created>
  <dcterms:modified xsi:type="dcterms:W3CDTF">2020-10-22T15:45:11Z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2020-10-22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